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65" w:rsidRDefault="00A0465B">
      <w:r>
        <w:t xml:space="preserve">Gráfica p </w:t>
      </w:r>
    </w:p>
    <w:p w:rsidR="00A0465B" w:rsidRDefault="00A0465B">
      <w:r>
        <w:t>Caso de tamaño de muestra variable.</w:t>
      </w:r>
    </w:p>
    <w:p w:rsidR="00A0465B" w:rsidRDefault="00A0465B"/>
    <w:p w:rsidR="00A0465B" w:rsidRDefault="00A0465B" w:rsidP="00A0465B">
      <w:pPr>
        <w:ind w:firstLine="708"/>
      </w:pPr>
      <w:r>
        <w:t xml:space="preserve">A diferencia de la gráfica </w:t>
      </w:r>
      <w:proofErr w:type="spellStart"/>
      <w:r>
        <w:t>np</w:t>
      </w:r>
      <w:proofErr w:type="spellEnd"/>
      <w:r>
        <w:t xml:space="preserve">, el caso de muestra variable puede ser contemplado por medio de una gráfica p, dado que la línea central (p promedio) no depende del tamaño de la muestra para cada subgrupo. En el caso de la gráfica </w:t>
      </w:r>
      <w:proofErr w:type="spellStart"/>
      <w:r>
        <w:t>np</w:t>
      </w:r>
      <w:proofErr w:type="spellEnd"/>
      <w:r>
        <w:t xml:space="preserve"> la línea central es </w:t>
      </w:r>
      <w:proofErr w:type="spellStart"/>
      <w:r>
        <w:t>np</w:t>
      </w:r>
      <w:proofErr w:type="spellEnd"/>
      <w:r>
        <w:t xml:space="preserve"> (p promedio) y al cambiar el tamaño de n cambiaría la línea central, lo cual dificulta su aplicación.</w:t>
      </w:r>
    </w:p>
    <w:p w:rsidR="00A0465B" w:rsidRDefault="00A0465B" w:rsidP="00A0465B">
      <w:pPr>
        <w:ind w:firstLine="708"/>
      </w:pPr>
    </w:p>
    <w:p w:rsidR="00A0465B" w:rsidRDefault="00A0465B" w:rsidP="00A0465B">
      <w:pPr>
        <w:ind w:firstLine="708"/>
      </w:pPr>
      <w:r>
        <w:t xml:space="preserve">Para este caso tenemos dos métodos para hacer las gráficas: </w:t>
      </w:r>
      <w:r w:rsidRPr="00116FE8">
        <w:rPr>
          <w:b/>
        </w:rPr>
        <w:t>El método exacto</w:t>
      </w:r>
      <w:r>
        <w:t>, cuya línea central y los límites de control están dados por:</w:t>
      </w:r>
    </w:p>
    <w:p w:rsidR="00A0465B" w:rsidRDefault="00A0465B" w:rsidP="00A0465B">
      <w:pPr>
        <w:ind w:firstLine="708"/>
      </w:pPr>
    </w:p>
    <w:p w:rsidR="00A0465B" w:rsidRDefault="00A0465B" w:rsidP="00A0465B">
      <w:pPr>
        <w:ind w:firstLine="708"/>
      </w:pPr>
      <w:r w:rsidRPr="00A0465B">
        <w:rPr>
          <w:position w:val="-30"/>
        </w:rPr>
        <w:object w:dxaOrig="2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5.25pt" o:ole="">
            <v:imagedata r:id="rId7" o:title=""/>
          </v:shape>
          <o:OLEObject Type="Embed" ProgID="Equation.3" ShapeID="_x0000_i1025" DrawAspect="Content" ObjectID="_1475468321" r:id="rId8"/>
        </w:object>
      </w:r>
    </w:p>
    <w:p w:rsidR="00E7730B" w:rsidRDefault="00E7730B" w:rsidP="00A0465B">
      <w:pPr>
        <w:ind w:firstLine="708"/>
      </w:pPr>
    </w:p>
    <w:p w:rsidR="00E7730B" w:rsidRDefault="00E7730B" w:rsidP="00A0465B">
      <w:pPr>
        <w:ind w:firstLine="708"/>
      </w:pPr>
      <w:r w:rsidRPr="00E7730B">
        <w:rPr>
          <w:position w:val="-26"/>
        </w:rPr>
        <w:object w:dxaOrig="2260" w:dyaOrig="740">
          <v:shape id="_x0000_i1026" type="#_x0000_t75" style="width:113.25pt;height:36.75pt" o:ole="">
            <v:imagedata r:id="rId9" o:title=""/>
          </v:shape>
          <o:OLEObject Type="Embed" ProgID="Equation.3" ShapeID="_x0000_i1026" DrawAspect="Content" ObjectID="_1475468322" r:id="rId10"/>
        </w:object>
      </w:r>
    </w:p>
    <w:p w:rsidR="00E7730B" w:rsidRDefault="00E7730B" w:rsidP="00A0465B">
      <w:pPr>
        <w:ind w:firstLine="708"/>
      </w:pPr>
    </w:p>
    <w:p w:rsidR="00E7730B" w:rsidRDefault="00E7730B" w:rsidP="00A0465B">
      <w:pPr>
        <w:ind w:firstLine="708"/>
      </w:pPr>
      <w:r w:rsidRPr="00E7730B">
        <w:rPr>
          <w:position w:val="-26"/>
        </w:rPr>
        <w:object w:dxaOrig="2220" w:dyaOrig="740">
          <v:shape id="_x0000_i1027" type="#_x0000_t75" style="width:111pt;height:36.75pt" o:ole="">
            <v:imagedata r:id="rId11" o:title=""/>
          </v:shape>
          <o:OLEObject Type="Embed" ProgID="Equation.3" ShapeID="_x0000_i1027" DrawAspect="Content" ObjectID="_1475468323" r:id="rId12"/>
        </w:object>
      </w:r>
    </w:p>
    <w:p w:rsidR="00E7730B" w:rsidRDefault="00E7730B" w:rsidP="00A0465B">
      <w:pPr>
        <w:ind w:firstLine="708"/>
      </w:pPr>
    </w:p>
    <w:p w:rsidR="00A0465B" w:rsidRDefault="00E7730B" w:rsidP="00A0465B">
      <w:pPr>
        <w:ind w:firstLine="708"/>
      </w:pPr>
      <w:r>
        <w:t>Para cada valor</w:t>
      </w:r>
      <w:r w:rsidR="00116FE8">
        <w:t xml:space="preserve"> de p en la gráfica, se trazan sus </w:t>
      </w:r>
      <w:r>
        <w:t>límites exactos.</w:t>
      </w:r>
    </w:p>
    <w:p w:rsidR="00E7730B" w:rsidRDefault="00E7730B" w:rsidP="00A0465B">
      <w:pPr>
        <w:ind w:firstLine="708"/>
      </w:pPr>
    </w:p>
    <w:p w:rsidR="00E7730B" w:rsidRDefault="00E7730B" w:rsidP="00A0465B">
      <w:pPr>
        <w:ind w:firstLine="708"/>
      </w:pPr>
    </w:p>
    <w:p w:rsidR="00E7730B" w:rsidRDefault="00E7730B" w:rsidP="00A0465B">
      <w:pPr>
        <w:ind w:firstLine="708"/>
      </w:pPr>
      <w:r w:rsidRPr="00116FE8">
        <w:rPr>
          <w:b/>
        </w:rPr>
        <w:t>El método aproximado</w:t>
      </w:r>
      <w:r>
        <w:t>, consiste en trazar las líneas de referencia de acuerdo a:</w:t>
      </w:r>
    </w:p>
    <w:p w:rsidR="00E7730B" w:rsidRDefault="00E7730B" w:rsidP="00A0465B">
      <w:pPr>
        <w:ind w:firstLine="708"/>
      </w:pPr>
    </w:p>
    <w:p w:rsidR="00E7730B" w:rsidRDefault="00E7730B" w:rsidP="00A0465B">
      <w:pPr>
        <w:ind w:firstLine="708"/>
      </w:pPr>
      <w:r w:rsidRPr="00A0465B">
        <w:rPr>
          <w:position w:val="-30"/>
        </w:rPr>
        <w:object w:dxaOrig="2840" w:dyaOrig="700">
          <v:shape id="_x0000_i1028" type="#_x0000_t75" style="width:141.75pt;height:35.25pt" o:ole="">
            <v:imagedata r:id="rId7" o:title=""/>
          </v:shape>
          <o:OLEObject Type="Embed" ProgID="Equation.3" ShapeID="_x0000_i1028" DrawAspect="Content" ObjectID="_1475468324" r:id="rId13"/>
        </w:object>
      </w:r>
    </w:p>
    <w:p w:rsidR="00E7730B" w:rsidRDefault="00E7730B" w:rsidP="00A0465B">
      <w:pPr>
        <w:ind w:firstLine="708"/>
      </w:pPr>
    </w:p>
    <w:p w:rsidR="00E7730B" w:rsidRDefault="00E7730B" w:rsidP="00A0465B">
      <w:pPr>
        <w:ind w:firstLine="708"/>
      </w:pPr>
    </w:p>
    <w:p w:rsidR="00A0465B" w:rsidRDefault="00E7730B" w:rsidP="00A0465B">
      <w:pPr>
        <w:ind w:firstLine="708"/>
      </w:pPr>
      <w:r w:rsidRPr="00A0465B">
        <w:rPr>
          <w:position w:val="-28"/>
        </w:rPr>
        <w:object w:dxaOrig="2260" w:dyaOrig="760">
          <v:shape id="_x0000_i1029" type="#_x0000_t75" style="width:113.25pt;height:38.25pt" o:ole="">
            <v:imagedata r:id="rId14" o:title=""/>
          </v:shape>
          <o:OLEObject Type="Embed" ProgID="Equation.3" ShapeID="_x0000_i1029" DrawAspect="Content" ObjectID="_1475468325" r:id="rId15"/>
        </w:object>
      </w:r>
    </w:p>
    <w:p w:rsidR="00A0465B" w:rsidRDefault="00A0465B" w:rsidP="00A0465B">
      <w:pPr>
        <w:ind w:firstLine="708"/>
      </w:pPr>
    </w:p>
    <w:p w:rsidR="00A0465B" w:rsidRDefault="00E7730B" w:rsidP="00A0465B">
      <w:pPr>
        <w:ind w:firstLine="708"/>
      </w:pPr>
      <w:r w:rsidRPr="00A0465B">
        <w:rPr>
          <w:position w:val="-28"/>
        </w:rPr>
        <w:object w:dxaOrig="2220" w:dyaOrig="760">
          <v:shape id="_x0000_i1030" type="#_x0000_t75" style="width:111pt;height:38.25pt" o:ole="">
            <v:imagedata r:id="rId16" o:title=""/>
          </v:shape>
          <o:OLEObject Type="Embed" ProgID="Equation.3" ShapeID="_x0000_i1030" DrawAspect="Content" ObjectID="_1475468326" r:id="rId17"/>
        </w:object>
      </w:r>
      <w:r>
        <w:t xml:space="preserve">              </w:t>
      </w:r>
      <w:proofErr w:type="gramStart"/>
      <w:r>
        <w:t>donde</w:t>
      </w:r>
      <w:proofErr w:type="gramEnd"/>
      <w:r>
        <w:t xml:space="preserve">     </w:t>
      </w:r>
      <w:r w:rsidRPr="00E7730B">
        <w:rPr>
          <w:position w:val="-24"/>
        </w:rPr>
        <w:object w:dxaOrig="2000" w:dyaOrig="639">
          <v:shape id="_x0000_i1031" type="#_x0000_t75" style="width:99.75pt;height:32.25pt" o:ole="">
            <v:imagedata r:id="rId18" o:title=""/>
          </v:shape>
          <o:OLEObject Type="Embed" ProgID="Equation.3" ShapeID="_x0000_i1031" DrawAspect="Content" ObjectID="_1475468327" r:id="rId19"/>
        </w:object>
      </w:r>
    </w:p>
    <w:p w:rsidR="00E7730B" w:rsidRDefault="00E7730B" w:rsidP="00A0465B">
      <w:pPr>
        <w:ind w:firstLine="708"/>
      </w:pPr>
    </w:p>
    <w:p w:rsidR="00E7730B" w:rsidRDefault="00E7730B" w:rsidP="00A0465B">
      <w:pPr>
        <w:ind w:firstLine="708"/>
      </w:pPr>
      <w:r>
        <w:t>Con este método se hacen las siguientes consideraciones: Los límites promedios son aceptables siempre y cuando el tamaño de la muestra no sea mayor o menor del 25% de n promedio. En caso de que así sucediera, se trazan los límites exactos. Lo anterior se puede apoyar con el siguiente criterio: Un punto que esté cercano a los límites (</w:t>
      </w:r>
      <w:r w:rsidR="002D1554">
        <w:sym w:font="Symbol" w:char="F0B1"/>
      </w:r>
      <w:r w:rsidR="002D1554">
        <w:t xml:space="preserve"> 1</w:t>
      </w:r>
      <w:r w:rsidR="002D1554">
        <w:sym w:font="Symbol" w:char="F073"/>
      </w:r>
      <w:r w:rsidR="002D1554">
        <w:t>) es recomendable calcular los límites exactos.</w:t>
      </w:r>
    </w:p>
    <w:p w:rsidR="00E7730B" w:rsidRDefault="00E7730B" w:rsidP="00A0465B">
      <w:pPr>
        <w:ind w:firstLine="708"/>
      </w:pPr>
    </w:p>
    <w:p w:rsidR="003106C5" w:rsidRDefault="003106C5" w:rsidP="003106C5">
      <w:r w:rsidRPr="008F3E4C">
        <w:rPr>
          <w:b/>
        </w:rPr>
        <w:t>Otro método aproximado</w:t>
      </w:r>
      <w:r>
        <w:t xml:space="preserve"> es la </w:t>
      </w:r>
      <w:r w:rsidRPr="008F3E4C">
        <w:rPr>
          <w:u w:val="single"/>
        </w:rPr>
        <w:t>gráfica de control estandarizada</w:t>
      </w:r>
      <w:r>
        <w:t>. (Muy práctica)</w:t>
      </w:r>
    </w:p>
    <w:p w:rsidR="003106C5" w:rsidRDefault="003106C5" w:rsidP="003106C5"/>
    <w:p w:rsidR="003106C5" w:rsidRDefault="003106C5" w:rsidP="003106C5">
      <w:r>
        <w:t>Para cada muestra se determina y se pone en la gráfica:</w:t>
      </w:r>
    </w:p>
    <w:p w:rsidR="003106C5" w:rsidRDefault="003106C5" w:rsidP="003106C5"/>
    <w:p w:rsidR="003106C5" w:rsidRPr="00E875C4" w:rsidRDefault="00E875C4" w:rsidP="003106C5">
      <m:oMathPara>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i</m:t>
                  </m:r>
                </m:sub>
              </m:sSub>
              <m:r>
                <w:rPr>
                  <w:rFonts w:ascii="Cambria Math" w:hAnsi="Cambria Math"/>
                </w:rPr>
                <m:t>-</m:t>
              </m:r>
              <m:r>
                <w:rPr>
                  <w:rFonts w:ascii="Cambria Math" w:hAnsi="Cambria Math"/>
                </w:rPr>
                <m:t>p</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p(1-p)</m:t>
                      </m:r>
                    </m:num>
                    <m:den>
                      <m:sSub>
                        <m:sSubPr>
                          <m:ctrlPr>
                            <w:rPr>
                              <w:rFonts w:ascii="Cambria Math" w:hAnsi="Cambria Math"/>
                              <w:i/>
                            </w:rPr>
                          </m:ctrlPr>
                        </m:sSubPr>
                        <m:e>
                          <m:r>
                            <w:rPr>
                              <w:rFonts w:ascii="Cambria Math" w:hAnsi="Cambria Math"/>
                            </w:rPr>
                            <m:t>n</m:t>
                          </m:r>
                        </m:e>
                        <m:sub>
                          <m:r>
                            <w:rPr>
                              <w:rFonts w:ascii="Cambria Math" w:hAnsi="Cambria Math"/>
                            </w:rPr>
                            <m:t>i</m:t>
                          </m:r>
                        </m:sub>
                      </m:sSub>
                    </m:den>
                  </m:f>
                </m:e>
              </m:rad>
            </m:den>
          </m:f>
        </m:oMath>
      </m:oMathPara>
    </w:p>
    <w:p w:rsidR="003106C5" w:rsidRDefault="003106C5" w:rsidP="003106C5"/>
    <w:p w:rsidR="003106C5" w:rsidRDefault="003106C5" w:rsidP="003106C5">
      <w:r>
        <w:t>Los límites de control permanentes de esta gráfica son LC = 0, LSC = 3 y LIC = -3.</w:t>
      </w:r>
    </w:p>
    <w:p w:rsidR="00E7730B" w:rsidRDefault="00E7730B" w:rsidP="00A0465B">
      <w:pPr>
        <w:ind w:firstLine="708"/>
      </w:pPr>
      <w:bookmarkStart w:id="0" w:name="_GoBack"/>
      <w:bookmarkEnd w:id="0"/>
    </w:p>
    <w:sectPr w:rsidR="00E773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B89" w:rsidRDefault="00761B89" w:rsidP="002D72D5">
      <w:r>
        <w:separator/>
      </w:r>
    </w:p>
  </w:endnote>
  <w:endnote w:type="continuationSeparator" w:id="0">
    <w:p w:rsidR="00761B89" w:rsidRDefault="00761B89" w:rsidP="002D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B89" w:rsidRDefault="00761B89" w:rsidP="002D72D5">
      <w:r>
        <w:separator/>
      </w:r>
    </w:p>
  </w:footnote>
  <w:footnote w:type="continuationSeparator" w:id="0">
    <w:p w:rsidR="00761B89" w:rsidRDefault="00761B89" w:rsidP="002D7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5B"/>
    <w:rsid w:val="000E31B6"/>
    <w:rsid w:val="00116FE8"/>
    <w:rsid w:val="002D1554"/>
    <w:rsid w:val="002D72D5"/>
    <w:rsid w:val="003106C5"/>
    <w:rsid w:val="00390CE5"/>
    <w:rsid w:val="004B2270"/>
    <w:rsid w:val="00761B89"/>
    <w:rsid w:val="007E2510"/>
    <w:rsid w:val="009F29F3"/>
    <w:rsid w:val="00A0465B"/>
    <w:rsid w:val="00A12165"/>
    <w:rsid w:val="00C05D0A"/>
    <w:rsid w:val="00E7730B"/>
    <w:rsid w:val="00E87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link w:val="TextodegloboCar"/>
    <w:rsid w:val="002D72D5"/>
    <w:rPr>
      <w:rFonts w:ascii="Tahoma" w:hAnsi="Tahoma" w:cs="Tahoma"/>
      <w:sz w:val="16"/>
      <w:szCs w:val="16"/>
    </w:rPr>
  </w:style>
  <w:style w:type="character" w:customStyle="1" w:styleId="TextodegloboCar">
    <w:name w:val="Texto de globo Car"/>
    <w:basedOn w:val="Fuentedeprrafopredeter"/>
    <w:link w:val="Textodeglobo"/>
    <w:rsid w:val="002D72D5"/>
    <w:rPr>
      <w:rFonts w:ascii="Tahoma" w:hAnsi="Tahoma" w:cs="Tahoma"/>
      <w:sz w:val="16"/>
      <w:szCs w:val="16"/>
      <w:lang w:val="es-ES" w:eastAsia="es-ES"/>
    </w:rPr>
  </w:style>
  <w:style w:type="paragraph" w:styleId="Encabezado">
    <w:name w:val="header"/>
    <w:basedOn w:val="Normal"/>
    <w:link w:val="EncabezadoCar"/>
    <w:rsid w:val="002D72D5"/>
    <w:pPr>
      <w:tabs>
        <w:tab w:val="center" w:pos="4419"/>
        <w:tab w:val="right" w:pos="8838"/>
      </w:tabs>
    </w:pPr>
  </w:style>
  <w:style w:type="character" w:customStyle="1" w:styleId="EncabezadoCar">
    <w:name w:val="Encabezado Car"/>
    <w:basedOn w:val="Fuentedeprrafopredeter"/>
    <w:link w:val="Encabezado"/>
    <w:rsid w:val="002D72D5"/>
    <w:rPr>
      <w:sz w:val="24"/>
      <w:szCs w:val="24"/>
      <w:lang w:val="es-ES" w:eastAsia="es-ES"/>
    </w:rPr>
  </w:style>
  <w:style w:type="paragraph" w:styleId="Piedepgina">
    <w:name w:val="footer"/>
    <w:basedOn w:val="Normal"/>
    <w:link w:val="PiedepginaCar"/>
    <w:rsid w:val="002D72D5"/>
    <w:pPr>
      <w:tabs>
        <w:tab w:val="center" w:pos="4419"/>
        <w:tab w:val="right" w:pos="8838"/>
      </w:tabs>
    </w:pPr>
  </w:style>
  <w:style w:type="character" w:customStyle="1" w:styleId="PiedepginaCar">
    <w:name w:val="Pie de página Car"/>
    <w:basedOn w:val="Fuentedeprrafopredeter"/>
    <w:link w:val="Piedepgina"/>
    <w:rsid w:val="002D72D5"/>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link w:val="TextodegloboCar"/>
    <w:rsid w:val="002D72D5"/>
    <w:rPr>
      <w:rFonts w:ascii="Tahoma" w:hAnsi="Tahoma" w:cs="Tahoma"/>
      <w:sz w:val="16"/>
      <w:szCs w:val="16"/>
    </w:rPr>
  </w:style>
  <w:style w:type="character" w:customStyle="1" w:styleId="TextodegloboCar">
    <w:name w:val="Texto de globo Car"/>
    <w:basedOn w:val="Fuentedeprrafopredeter"/>
    <w:link w:val="Textodeglobo"/>
    <w:rsid w:val="002D72D5"/>
    <w:rPr>
      <w:rFonts w:ascii="Tahoma" w:hAnsi="Tahoma" w:cs="Tahoma"/>
      <w:sz w:val="16"/>
      <w:szCs w:val="16"/>
      <w:lang w:val="es-ES" w:eastAsia="es-ES"/>
    </w:rPr>
  </w:style>
  <w:style w:type="paragraph" w:styleId="Encabezado">
    <w:name w:val="header"/>
    <w:basedOn w:val="Normal"/>
    <w:link w:val="EncabezadoCar"/>
    <w:rsid w:val="002D72D5"/>
    <w:pPr>
      <w:tabs>
        <w:tab w:val="center" w:pos="4419"/>
        <w:tab w:val="right" w:pos="8838"/>
      </w:tabs>
    </w:pPr>
  </w:style>
  <w:style w:type="character" w:customStyle="1" w:styleId="EncabezadoCar">
    <w:name w:val="Encabezado Car"/>
    <w:basedOn w:val="Fuentedeprrafopredeter"/>
    <w:link w:val="Encabezado"/>
    <w:rsid w:val="002D72D5"/>
    <w:rPr>
      <w:sz w:val="24"/>
      <w:szCs w:val="24"/>
      <w:lang w:val="es-ES" w:eastAsia="es-ES"/>
    </w:rPr>
  </w:style>
  <w:style w:type="paragraph" w:styleId="Piedepgina">
    <w:name w:val="footer"/>
    <w:basedOn w:val="Normal"/>
    <w:link w:val="PiedepginaCar"/>
    <w:rsid w:val="002D72D5"/>
    <w:pPr>
      <w:tabs>
        <w:tab w:val="center" w:pos="4419"/>
        <w:tab w:val="right" w:pos="8838"/>
      </w:tabs>
    </w:pPr>
  </w:style>
  <w:style w:type="character" w:customStyle="1" w:styleId="PiedepginaCar">
    <w:name w:val="Pie de página Car"/>
    <w:basedOn w:val="Fuentedeprrafopredeter"/>
    <w:link w:val="Piedepgina"/>
    <w:rsid w:val="002D72D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Gráfica p</vt:lpstr>
    </vt:vector>
  </TitlesOfParts>
  <Company>Universidad de Sonora</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Gráfica p</dc:title>
  <dc:creator>Jose Lozano Taylor</dc:creator>
  <cp:lastModifiedBy>Usuario Unison</cp:lastModifiedBy>
  <cp:revision>3</cp:revision>
  <dcterms:created xsi:type="dcterms:W3CDTF">2014-10-22T14:29:00Z</dcterms:created>
  <dcterms:modified xsi:type="dcterms:W3CDTF">2014-10-22T14:32:00Z</dcterms:modified>
</cp:coreProperties>
</file>